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D0" w:rsidRPr="00E407D8" w:rsidRDefault="00A02DD0" w:rsidP="00A02DD0">
      <w:pPr>
        <w:keepNext/>
        <w:keepLines/>
        <w:spacing w:before="240" w:after="0"/>
        <w:jc w:val="center"/>
        <w:outlineLvl w:val="0"/>
        <w:rPr>
          <w:rFonts w:asciiTheme="majorHAnsi" w:eastAsiaTheme="majorEastAsia" w:hAnsiTheme="majorHAnsi" w:cstheme="majorBidi"/>
          <w:color w:val="2E74B5" w:themeColor="accent1" w:themeShade="BF"/>
          <w:sz w:val="32"/>
          <w:szCs w:val="32"/>
        </w:rPr>
      </w:pPr>
      <w:bookmarkStart w:id="0" w:name="OLE_LINK1"/>
      <w:r w:rsidRPr="00E407D8">
        <w:rPr>
          <w:rFonts w:asciiTheme="majorHAnsi" w:eastAsiaTheme="majorEastAsia" w:hAnsiTheme="majorHAnsi" w:cstheme="majorBidi"/>
          <w:color w:val="2E74B5" w:themeColor="accent1" w:themeShade="BF"/>
          <w:sz w:val="32"/>
          <w:szCs w:val="32"/>
        </w:rPr>
        <w:t>Queensborough Community College</w:t>
      </w:r>
    </w:p>
    <w:p w:rsidR="00A02DD0" w:rsidRPr="00E407D8" w:rsidRDefault="00A02DD0" w:rsidP="00A02DD0">
      <w:pPr>
        <w:keepNext/>
        <w:keepLines/>
        <w:spacing w:before="40" w:after="0"/>
        <w:jc w:val="center"/>
        <w:outlineLvl w:val="1"/>
        <w:rPr>
          <w:rFonts w:asciiTheme="majorHAnsi" w:eastAsiaTheme="majorEastAsia" w:hAnsiTheme="majorHAnsi" w:cstheme="majorBidi"/>
          <w:color w:val="2E74B5" w:themeColor="accent1" w:themeShade="BF"/>
          <w:sz w:val="26"/>
          <w:szCs w:val="26"/>
        </w:rPr>
      </w:pPr>
      <w:r w:rsidRPr="00E407D8">
        <w:rPr>
          <w:rFonts w:asciiTheme="majorHAnsi" w:eastAsiaTheme="majorEastAsia" w:hAnsiTheme="majorHAnsi" w:cstheme="majorBidi"/>
          <w:color w:val="2E74B5" w:themeColor="accent1" w:themeShade="BF"/>
          <w:sz w:val="26"/>
          <w:szCs w:val="26"/>
        </w:rPr>
        <w:t>Of the City University of New York</w:t>
      </w:r>
    </w:p>
    <w:p w:rsidR="00A02DD0" w:rsidRPr="00E407D8" w:rsidRDefault="00A02DD0" w:rsidP="00A02DD0">
      <w:pPr>
        <w:jc w:val="center"/>
        <w:rPr>
          <w:i/>
          <w:iCs/>
        </w:rPr>
      </w:pPr>
    </w:p>
    <w:p w:rsidR="00A02DD0" w:rsidRPr="00E407D8" w:rsidRDefault="00A02DD0" w:rsidP="00A02DD0">
      <w:pPr>
        <w:jc w:val="center"/>
        <w:rPr>
          <w:i/>
          <w:iCs/>
        </w:rPr>
      </w:pPr>
      <w:r w:rsidRPr="00E407D8">
        <w:rPr>
          <w:i/>
          <w:iCs/>
        </w:rPr>
        <w:t>The Committee on Course and Standing</w:t>
      </w:r>
    </w:p>
    <w:p w:rsidR="00A02DD0" w:rsidRPr="00E407D8" w:rsidRDefault="00A02DD0" w:rsidP="00A02DD0">
      <w:pPr>
        <w:rPr>
          <w:bCs/>
        </w:rPr>
      </w:pPr>
    </w:p>
    <w:p w:rsidR="00A02DD0" w:rsidRPr="00E407D8" w:rsidRDefault="00A02DD0" w:rsidP="00A02DD0">
      <w:pPr>
        <w:rPr>
          <w:bCs/>
        </w:rPr>
      </w:pPr>
      <w:r w:rsidRPr="00E407D8">
        <w:rPr>
          <w:bCs/>
        </w:rPr>
        <w:t xml:space="preserve">The Committee on Course </w:t>
      </w:r>
      <w:r>
        <w:rPr>
          <w:bCs/>
        </w:rPr>
        <w:t xml:space="preserve">and Standing met Remotely on Teams, </w:t>
      </w:r>
      <w:r>
        <w:rPr>
          <w:bCs/>
        </w:rPr>
        <w:t>November 11</w:t>
      </w:r>
      <w:r>
        <w:rPr>
          <w:bCs/>
        </w:rPr>
        <w:t xml:space="preserve">, 2022, at 10:00 am </w:t>
      </w:r>
    </w:p>
    <w:p w:rsidR="00A02DD0" w:rsidRPr="00E407D8" w:rsidRDefault="00A02DD0" w:rsidP="00A02DD0">
      <w:pPr>
        <w:spacing w:after="0" w:line="240" w:lineRule="auto"/>
        <w:rPr>
          <w:b/>
          <w:bCs/>
        </w:rPr>
      </w:pPr>
      <w:r w:rsidRPr="00E407D8">
        <w:rPr>
          <w:b/>
          <w:bCs/>
        </w:rPr>
        <w:t>Committee Members in Attendance:</w:t>
      </w:r>
    </w:p>
    <w:p w:rsidR="00A02DD0" w:rsidRPr="00E407D8" w:rsidRDefault="00A02DD0" w:rsidP="00A02DD0">
      <w:pPr>
        <w:spacing w:after="0" w:line="240" w:lineRule="auto"/>
      </w:pPr>
      <w:r w:rsidRPr="00E407D8">
        <w:t>Gina Capozzoli, Counseling</w:t>
      </w:r>
      <w:r>
        <w:t xml:space="preserve"> Center</w:t>
      </w:r>
    </w:p>
    <w:p w:rsidR="00A02DD0" w:rsidRDefault="00A02DD0" w:rsidP="00A02DD0">
      <w:pPr>
        <w:spacing w:after="0" w:line="240" w:lineRule="auto"/>
      </w:pPr>
      <w:r>
        <w:t>Carolina Chaves, Foreign Language and Literature</w:t>
      </w:r>
    </w:p>
    <w:p w:rsidR="00A02DD0" w:rsidRDefault="00A02DD0" w:rsidP="00A02DD0">
      <w:pPr>
        <w:spacing w:after="0" w:line="240" w:lineRule="auto"/>
      </w:pPr>
      <w:r>
        <w:t>Patricia Kinneary, Nursing</w:t>
      </w:r>
    </w:p>
    <w:p w:rsidR="00A02DD0" w:rsidRDefault="00A02DD0" w:rsidP="00A02DD0">
      <w:pPr>
        <w:spacing w:after="0" w:line="240" w:lineRule="auto"/>
      </w:pPr>
      <w:r>
        <w:t xml:space="preserve">Matthew Konkel, </w:t>
      </w:r>
      <w:r w:rsidRPr="00C41FB6">
        <w:t>Accelerated Study in Associate Programs</w:t>
      </w:r>
    </w:p>
    <w:p w:rsidR="00A02DD0" w:rsidRDefault="00A02DD0" w:rsidP="00A02DD0">
      <w:pPr>
        <w:spacing w:after="0" w:line="240" w:lineRule="auto"/>
      </w:pPr>
      <w:r>
        <w:t>Vartan Messier, English</w:t>
      </w:r>
    </w:p>
    <w:p w:rsidR="00A02DD0" w:rsidRDefault="00A02DD0" w:rsidP="00A02DD0">
      <w:pPr>
        <w:spacing w:after="0" w:line="240" w:lineRule="auto"/>
      </w:pPr>
      <w:r>
        <w:t>Katwicia Desruisseaux,</w:t>
      </w:r>
      <w:r w:rsidRPr="003A53E2">
        <w:t xml:space="preserve"> College Disc</w:t>
      </w:r>
      <w:r>
        <w:t>overy</w:t>
      </w:r>
    </w:p>
    <w:p w:rsidR="00A02DD0" w:rsidRDefault="00A02DD0" w:rsidP="00A02DD0">
      <w:pPr>
        <w:spacing w:after="0" w:line="240" w:lineRule="auto"/>
      </w:pPr>
      <w:r>
        <w:t>Susan McLaughlin, Biology/Geology</w:t>
      </w:r>
    </w:p>
    <w:p w:rsidR="00A02DD0" w:rsidRDefault="00A02DD0" w:rsidP="00A02DD0">
      <w:pPr>
        <w:spacing w:after="0" w:line="240" w:lineRule="auto"/>
      </w:pPr>
      <w:r>
        <w:t xml:space="preserve">Christopher Roblodowski, </w:t>
      </w:r>
      <w:r w:rsidRPr="003A53E2">
        <w:t>Biology</w:t>
      </w:r>
      <w:r>
        <w:t>/Geology</w:t>
      </w:r>
    </w:p>
    <w:p w:rsidR="00A02DD0" w:rsidRDefault="00A02DD0" w:rsidP="00A02DD0">
      <w:pPr>
        <w:spacing w:after="0" w:line="240" w:lineRule="auto"/>
      </w:pPr>
    </w:p>
    <w:p w:rsidR="00A02DD0" w:rsidRPr="00E407D8" w:rsidRDefault="00A02DD0" w:rsidP="00A02DD0">
      <w:pPr>
        <w:spacing w:after="0" w:line="240" w:lineRule="auto"/>
        <w:rPr>
          <w:b/>
        </w:rPr>
      </w:pPr>
      <w:r w:rsidRPr="00E407D8">
        <w:rPr>
          <w:b/>
        </w:rPr>
        <w:t>Committee Member</w:t>
      </w:r>
      <w:r>
        <w:rPr>
          <w:b/>
        </w:rPr>
        <w:t>s A</w:t>
      </w:r>
      <w:r w:rsidRPr="00E407D8">
        <w:rPr>
          <w:b/>
        </w:rPr>
        <w:t>bsent:</w:t>
      </w:r>
    </w:p>
    <w:p w:rsidR="00A02DD0" w:rsidRDefault="00A02DD0" w:rsidP="00A02DD0">
      <w:pPr>
        <w:spacing w:after="0" w:line="240" w:lineRule="auto"/>
      </w:pPr>
      <w:r>
        <w:t xml:space="preserve">Steven Cheng, </w:t>
      </w:r>
      <w:r w:rsidRPr="00C41FB6">
        <w:t>Mathematics and Computer Science</w:t>
      </w:r>
    </w:p>
    <w:p w:rsidR="00A02DD0" w:rsidRPr="00E407D8" w:rsidRDefault="00A02DD0" w:rsidP="00A02DD0">
      <w:pPr>
        <w:spacing w:after="0" w:line="240" w:lineRule="auto"/>
      </w:pPr>
    </w:p>
    <w:p w:rsidR="00A02DD0" w:rsidRDefault="00A02DD0" w:rsidP="00A02DD0">
      <w:pPr>
        <w:spacing w:after="0" w:line="240" w:lineRule="auto"/>
        <w:rPr>
          <w:b/>
        </w:rPr>
      </w:pPr>
      <w:r w:rsidRPr="00E407D8">
        <w:rPr>
          <w:b/>
        </w:rPr>
        <w:t>Others in Attendance:</w:t>
      </w:r>
    </w:p>
    <w:p w:rsidR="00A02DD0" w:rsidRPr="00A02DD0" w:rsidRDefault="00A02DD0" w:rsidP="00A02DD0">
      <w:pPr>
        <w:spacing w:after="0" w:line="240" w:lineRule="auto"/>
      </w:pPr>
      <w:r w:rsidRPr="00A02DD0">
        <w:t>Emiko Sanchez, Registrar</w:t>
      </w:r>
    </w:p>
    <w:p w:rsidR="00A02DD0" w:rsidRDefault="00A02DD0" w:rsidP="00A02DD0">
      <w:pPr>
        <w:spacing w:after="0" w:line="240" w:lineRule="auto"/>
      </w:pPr>
      <w:r w:rsidRPr="00E407D8">
        <w:t>Lisandra Rodriguez, CUNY Office Assistant (Registrar)</w:t>
      </w:r>
    </w:p>
    <w:p w:rsidR="00A02DD0" w:rsidRDefault="00A02DD0" w:rsidP="00A02DD0">
      <w:pPr>
        <w:spacing w:after="0" w:line="240" w:lineRule="auto"/>
      </w:pPr>
    </w:p>
    <w:p w:rsidR="00A02DD0" w:rsidRPr="006E3E54" w:rsidRDefault="00A02DD0" w:rsidP="00A02DD0">
      <w:pPr>
        <w:spacing w:after="0" w:line="240" w:lineRule="auto"/>
        <w:rPr>
          <w:b/>
        </w:rPr>
      </w:pPr>
      <w:r w:rsidRPr="006E3E54">
        <w:rPr>
          <w:b/>
        </w:rPr>
        <w:t>Business:</w:t>
      </w:r>
    </w:p>
    <w:p w:rsidR="00A02DD0" w:rsidRDefault="00A02DD0" w:rsidP="00A02DD0">
      <w:pPr>
        <w:spacing w:after="0" w:line="240" w:lineRule="auto"/>
      </w:pPr>
      <w:r>
        <w:t>The Committee on Course and Standing met to review retroactive appeals.</w:t>
      </w:r>
    </w:p>
    <w:p w:rsidR="00A02DD0" w:rsidRDefault="00A02DD0" w:rsidP="00A02DD0">
      <w:pPr>
        <w:spacing w:after="0" w:line="240" w:lineRule="auto"/>
      </w:pPr>
    </w:p>
    <w:p w:rsidR="00A02DD0" w:rsidRDefault="00A02DD0" w:rsidP="00A02DD0">
      <w:pPr>
        <w:spacing w:after="0" w:line="240" w:lineRule="auto"/>
        <w:rPr>
          <w:b/>
        </w:rPr>
      </w:pPr>
      <w:r w:rsidRPr="006E3E54">
        <w:rPr>
          <w:b/>
        </w:rPr>
        <w:t>Topics discussed:</w:t>
      </w:r>
    </w:p>
    <w:p w:rsidR="00A02DD0" w:rsidRDefault="00A02DD0" w:rsidP="00A02DD0">
      <w:pPr>
        <w:spacing w:after="0" w:line="240" w:lineRule="auto"/>
        <w:rPr>
          <w:b/>
        </w:rPr>
      </w:pPr>
    </w:p>
    <w:p w:rsidR="00A02DD0" w:rsidRDefault="00A02DD0" w:rsidP="00F24898">
      <w:pPr>
        <w:pStyle w:val="ListParagraph"/>
        <w:numPr>
          <w:ilvl w:val="0"/>
          <w:numId w:val="3"/>
        </w:numPr>
        <w:spacing w:after="0" w:line="240" w:lineRule="auto"/>
      </w:pPr>
      <w:r w:rsidRPr="00A02DD0">
        <w:t>Students appealing “WU” grades in their first semester, shall be approved.</w:t>
      </w:r>
    </w:p>
    <w:p w:rsidR="00A02DD0" w:rsidRDefault="00A02DD0" w:rsidP="00F24898">
      <w:pPr>
        <w:pStyle w:val="ListParagraph"/>
        <w:numPr>
          <w:ilvl w:val="0"/>
          <w:numId w:val="3"/>
        </w:numPr>
        <w:spacing w:after="0" w:line="240" w:lineRule="auto"/>
      </w:pPr>
      <w:r>
        <w:t>Academic Senate decision to change Fresh Start eligibility for students from a four-year nonattendance of college to now a two-year timeframe.</w:t>
      </w:r>
    </w:p>
    <w:p w:rsidR="00A02DD0" w:rsidRDefault="00A02DD0" w:rsidP="00F24898">
      <w:pPr>
        <w:pStyle w:val="ListParagraph"/>
        <w:numPr>
          <w:ilvl w:val="0"/>
          <w:numId w:val="3"/>
        </w:numPr>
        <w:spacing w:after="0" w:line="240" w:lineRule="auto"/>
      </w:pPr>
      <w:r>
        <w:t>Eligible students for Fresh Start will be coded in the student group section of their CUNYFirst</w:t>
      </w:r>
      <w:r w:rsidR="00F24898">
        <w:t xml:space="preserve"> account.</w:t>
      </w:r>
    </w:p>
    <w:p w:rsidR="00F24898" w:rsidRDefault="00F24898" w:rsidP="00F24898">
      <w:pPr>
        <w:pStyle w:val="ListParagraph"/>
        <w:numPr>
          <w:ilvl w:val="0"/>
          <w:numId w:val="3"/>
        </w:numPr>
        <w:spacing w:after="0" w:line="240" w:lineRule="auto"/>
      </w:pPr>
      <w:r>
        <w:t>Appeals with a two year or more timeframe should be reviewed for possible Fresh Start eligibility prior to submission to the CCS. Ms. Rodriguez will check student groups for this possibility and notify student if eligible.</w:t>
      </w:r>
    </w:p>
    <w:p w:rsidR="00F24898" w:rsidRDefault="00F24898" w:rsidP="00F24898">
      <w:pPr>
        <w:pStyle w:val="ListParagraph"/>
        <w:numPr>
          <w:ilvl w:val="0"/>
          <w:numId w:val="3"/>
        </w:numPr>
        <w:spacing w:after="0" w:line="240" w:lineRule="auto"/>
      </w:pPr>
      <w:r>
        <w:t>Should the four-year timeframe for appeals to be directed to OAA change to a two-year timeframe/question will be made to OAA.</w:t>
      </w:r>
    </w:p>
    <w:p w:rsidR="00F24898" w:rsidRDefault="00F24898" w:rsidP="00A02DD0">
      <w:pPr>
        <w:spacing w:after="0" w:line="240" w:lineRule="auto"/>
      </w:pPr>
    </w:p>
    <w:p w:rsidR="00A02DD0" w:rsidRDefault="00A02DD0" w:rsidP="00A02DD0">
      <w:pPr>
        <w:spacing w:after="0" w:line="240" w:lineRule="auto"/>
        <w:rPr>
          <w:b/>
        </w:rPr>
      </w:pPr>
      <w:r w:rsidRPr="006E3E54">
        <w:rPr>
          <w:b/>
        </w:rPr>
        <w:t>Additional Matters:</w:t>
      </w:r>
    </w:p>
    <w:p w:rsidR="00F24898" w:rsidRPr="006B50EF" w:rsidRDefault="00F24898" w:rsidP="00A02DD0">
      <w:pPr>
        <w:spacing w:after="0" w:line="240" w:lineRule="auto"/>
        <w:rPr>
          <w:b/>
        </w:rPr>
      </w:pPr>
    </w:p>
    <w:p w:rsidR="00A02DD0" w:rsidRDefault="00A02DD0" w:rsidP="00A02DD0">
      <w:pPr>
        <w:pStyle w:val="ListParagraph"/>
        <w:numPr>
          <w:ilvl w:val="0"/>
          <w:numId w:val="1"/>
        </w:numPr>
        <w:spacing w:after="0" w:line="240" w:lineRule="auto"/>
      </w:pPr>
      <w:r>
        <w:t>Retroactive appeals were reviewed.</w:t>
      </w:r>
    </w:p>
    <w:p w:rsidR="00A02DD0" w:rsidRDefault="00A02DD0" w:rsidP="00A02DD0">
      <w:pPr>
        <w:spacing w:after="0" w:line="240" w:lineRule="auto"/>
      </w:pPr>
    </w:p>
    <w:p w:rsidR="00A02DD0" w:rsidRDefault="00A02DD0" w:rsidP="00A02DD0">
      <w:pPr>
        <w:spacing w:after="0" w:line="240" w:lineRule="auto"/>
      </w:pPr>
    </w:p>
    <w:p w:rsidR="00A02DD0" w:rsidRPr="00DB2365" w:rsidRDefault="00A02DD0" w:rsidP="00A02DD0">
      <w:pPr>
        <w:spacing w:after="0" w:line="240" w:lineRule="auto"/>
        <w:rPr>
          <w:b/>
        </w:rPr>
      </w:pPr>
      <w:r w:rsidRPr="00DB2365">
        <w:rPr>
          <w:b/>
        </w:rPr>
        <w:t xml:space="preserve">The Committee on Course and Standing reviewed </w:t>
      </w:r>
      <w:r w:rsidR="00F24898">
        <w:rPr>
          <w:b/>
        </w:rPr>
        <w:t>12</w:t>
      </w:r>
      <w:r w:rsidRPr="00DB2365">
        <w:rPr>
          <w:b/>
        </w:rPr>
        <w:t xml:space="preserve"> appeals</w:t>
      </w:r>
      <w:r>
        <w:rPr>
          <w:b/>
        </w:rPr>
        <w:t xml:space="preserve"> in total</w:t>
      </w:r>
      <w:r w:rsidRPr="00DB2365">
        <w:rPr>
          <w:b/>
        </w:rPr>
        <w:t>.</w:t>
      </w:r>
    </w:p>
    <w:p w:rsidR="00A02DD0" w:rsidRPr="0016412D" w:rsidRDefault="00A02DD0" w:rsidP="00A02DD0">
      <w:pPr>
        <w:spacing w:after="0" w:line="240" w:lineRule="auto"/>
        <w:rPr>
          <w:b/>
        </w:rPr>
      </w:pPr>
    </w:p>
    <w:tbl>
      <w:tblPr>
        <w:tblStyle w:val="TableGrid"/>
        <w:tblW w:w="0" w:type="auto"/>
        <w:tblInd w:w="0" w:type="dxa"/>
        <w:tblLook w:val="04A0" w:firstRow="1" w:lastRow="0" w:firstColumn="1" w:lastColumn="0" w:noHBand="0" w:noVBand="1"/>
      </w:tblPr>
      <w:tblGrid>
        <w:gridCol w:w="1649"/>
        <w:gridCol w:w="1528"/>
        <w:gridCol w:w="1540"/>
        <w:gridCol w:w="1522"/>
        <w:gridCol w:w="1556"/>
        <w:gridCol w:w="1555"/>
      </w:tblGrid>
      <w:tr w:rsidR="00A02DD0" w:rsidTr="000179CE">
        <w:trPr>
          <w:trHeight w:val="620"/>
        </w:trPr>
        <w:tc>
          <w:tcPr>
            <w:tcW w:w="1649"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tc>
        <w:tc>
          <w:tcPr>
            <w:tcW w:w="1528" w:type="dxa"/>
            <w:tcBorders>
              <w:top w:val="single" w:sz="4" w:space="0" w:color="auto"/>
              <w:left w:val="single" w:sz="4" w:space="0" w:color="auto"/>
              <w:bottom w:val="single" w:sz="4" w:space="0" w:color="auto"/>
              <w:right w:val="single" w:sz="4" w:space="0" w:color="auto"/>
            </w:tcBorders>
            <w:hideMark/>
          </w:tcPr>
          <w:p w:rsidR="00A02DD0" w:rsidRDefault="00A02DD0" w:rsidP="000179CE">
            <w:pPr>
              <w:jc w:val="center"/>
              <w:rPr>
                <w:b/>
              </w:rPr>
            </w:pPr>
            <w:r>
              <w:rPr>
                <w:b/>
              </w:rPr>
              <w:t>TOTAL APPEALS</w:t>
            </w:r>
          </w:p>
        </w:tc>
        <w:tc>
          <w:tcPr>
            <w:tcW w:w="1540" w:type="dxa"/>
            <w:tcBorders>
              <w:top w:val="single" w:sz="4" w:space="0" w:color="auto"/>
              <w:left w:val="single" w:sz="4" w:space="0" w:color="auto"/>
              <w:bottom w:val="single" w:sz="4" w:space="0" w:color="auto"/>
              <w:right w:val="single" w:sz="4" w:space="0" w:color="auto"/>
            </w:tcBorders>
            <w:hideMark/>
          </w:tcPr>
          <w:p w:rsidR="00A02DD0" w:rsidRDefault="00A02DD0" w:rsidP="000179CE">
            <w:pPr>
              <w:jc w:val="center"/>
              <w:rPr>
                <w:b/>
              </w:rPr>
            </w:pPr>
            <w:r>
              <w:rPr>
                <w:b/>
              </w:rPr>
              <w:t>APPROVED</w:t>
            </w:r>
          </w:p>
        </w:tc>
        <w:tc>
          <w:tcPr>
            <w:tcW w:w="1522" w:type="dxa"/>
            <w:tcBorders>
              <w:top w:val="single" w:sz="4" w:space="0" w:color="auto"/>
              <w:left w:val="single" w:sz="4" w:space="0" w:color="auto"/>
              <w:bottom w:val="single" w:sz="4" w:space="0" w:color="auto"/>
              <w:right w:val="single" w:sz="4" w:space="0" w:color="auto"/>
            </w:tcBorders>
            <w:hideMark/>
          </w:tcPr>
          <w:p w:rsidR="00A02DD0" w:rsidRDefault="00A02DD0" w:rsidP="000179CE">
            <w:pPr>
              <w:jc w:val="center"/>
              <w:rPr>
                <w:b/>
              </w:rPr>
            </w:pPr>
            <w:r>
              <w:rPr>
                <w:b/>
              </w:rPr>
              <w:t>DENIED</w:t>
            </w:r>
          </w:p>
        </w:tc>
        <w:tc>
          <w:tcPr>
            <w:tcW w:w="1556" w:type="dxa"/>
            <w:tcBorders>
              <w:top w:val="single" w:sz="4" w:space="0" w:color="auto"/>
              <w:left w:val="single" w:sz="4" w:space="0" w:color="auto"/>
              <w:bottom w:val="single" w:sz="4" w:space="0" w:color="auto"/>
              <w:right w:val="single" w:sz="4" w:space="0" w:color="auto"/>
            </w:tcBorders>
            <w:hideMark/>
          </w:tcPr>
          <w:p w:rsidR="00A02DD0" w:rsidRDefault="00A02DD0" w:rsidP="000179CE">
            <w:pPr>
              <w:jc w:val="center"/>
              <w:rPr>
                <w:b/>
              </w:rPr>
            </w:pPr>
            <w:r>
              <w:rPr>
                <w:b/>
              </w:rPr>
              <w:t>CONDITIONAL</w:t>
            </w:r>
          </w:p>
          <w:p w:rsidR="00A02DD0" w:rsidRDefault="00A02DD0" w:rsidP="000179CE">
            <w:pPr>
              <w:jc w:val="center"/>
              <w:rPr>
                <w:b/>
              </w:rPr>
            </w:pPr>
            <w:r>
              <w:rPr>
                <w:b/>
              </w:rPr>
              <w:t>APPROVAL</w:t>
            </w:r>
          </w:p>
        </w:tc>
        <w:tc>
          <w:tcPr>
            <w:tcW w:w="1555" w:type="dxa"/>
            <w:tcBorders>
              <w:top w:val="single" w:sz="4" w:space="0" w:color="auto"/>
              <w:left w:val="single" w:sz="4" w:space="0" w:color="auto"/>
              <w:bottom w:val="single" w:sz="4" w:space="0" w:color="auto"/>
              <w:right w:val="single" w:sz="4" w:space="0" w:color="auto"/>
            </w:tcBorders>
            <w:hideMark/>
          </w:tcPr>
          <w:p w:rsidR="00A02DD0" w:rsidRDefault="00A02DD0" w:rsidP="000179CE">
            <w:pPr>
              <w:jc w:val="center"/>
              <w:rPr>
                <w:b/>
              </w:rPr>
            </w:pPr>
            <w:r>
              <w:rPr>
                <w:b/>
              </w:rPr>
              <w:t>NO</w:t>
            </w:r>
          </w:p>
          <w:p w:rsidR="00A02DD0" w:rsidRDefault="00A02DD0" w:rsidP="000179CE">
            <w:pPr>
              <w:jc w:val="center"/>
              <w:rPr>
                <w:b/>
              </w:rPr>
            </w:pPr>
            <w:r>
              <w:rPr>
                <w:b/>
              </w:rPr>
              <w:t>JURISDICTION</w:t>
            </w:r>
          </w:p>
          <w:p w:rsidR="00A02DD0" w:rsidRPr="00DB2365" w:rsidRDefault="00A02DD0" w:rsidP="000179CE">
            <w:pPr>
              <w:jc w:val="center"/>
              <w:rPr>
                <w:b/>
                <w:sz w:val="16"/>
                <w:szCs w:val="16"/>
              </w:rPr>
            </w:pPr>
            <w:r w:rsidRPr="00DB2365">
              <w:rPr>
                <w:b/>
                <w:sz w:val="16"/>
                <w:szCs w:val="16"/>
              </w:rPr>
              <w:t>(not counted in totals)</w:t>
            </w:r>
          </w:p>
        </w:tc>
      </w:tr>
      <w:tr w:rsidR="00A02DD0" w:rsidTr="000179CE">
        <w:trPr>
          <w:trHeight w:val="602"/>
        </w:trPr>
        <w:tc>
          <w:tcPr>
            <w:tcW w:w="1649" w:type="dxa"/>
            <w:tcBorders>
              <w:top w:val="single" w:sz="4" w:space="0" w:color="auto"/>
              <w:left w:val="single" w:sz="4" w:space="0" w:color="auto"/>
              <w:bottom w:val="single" w:sz="4" w:space="0" w:color="auto"/>
              <w:right w:val="single" w:sz="4" w:space="0" w:color="auto"/>
            </w:tcBorders>
            <w:hideMark/>
          </w:tcPr>
          <w:p w:rsidR="00A02DD0" w:rsidRDefault="00A02DD0" w:rsidP="000179CE">
            <w:pPr>
              <w:jc w:val="center"/>
              <w:rPr>
                <w:b/>
              </w:rPr>
            </w:pPr>
            <w:r>
              <w:rPr>
                <w:b/>
              </w:rPr>
              <w:t>LATE</w:t>
            </w:r>
          </w:p>
          <w:p w:rsidR="00A02DD0" w:rsidRDefault="00A02DD0" w:rsidP="000179CE">
            <w:pPr>
              <w:jc w:val="center"/>
              <w:rPr>
                <w:b/>
              </w:rPr>
            </w:pPr>
            <w:r>
              <w:rPr>
                <w:b/>
              </w:rPr>
              <w:t>WITHDRAWALS</w:t>
            </w:r>
          </w:p>
        </w:tc>
        <w:tc>
          <w:tcPr>
            <w:tcW w:w="1528"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c>
          <w:tcPr>
            <w:tcW w:w="1540"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c>
          <w:tcPr>
            <w:tcW w:w="1522"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c>
          <w:tcPr>
            <w:tcW w:w="1556"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c>
          <w:tcPr>
            <w:tcW w:w="1555"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r>
      <w:tr w:rsidR="00A02DD0" w:rsidTr="000179CE">
        <w:trPr>
          <w:trHeight w:val="692"/>
        </w:trPr>
        <w:tc>
          <w:tcPr>
            <w:tcW w:w="1649" w:type="dxa"/>
            <w:tcBorders>
              <w:top w:val="single" w:sz="4" w:space="0" w:color="auto"/>
              <w:left w:val="single" w:sz="4" w:space="0" w:color="auto"/>
              <w:bottom w:val="single" w:sz="4" w:space="0" w:color="auto"/>
              <w:right w:val="single" w:sz="4" w:space="0" w:color="auto"/>
            </w:tcBorders>
            <w:hideMark/>
          </w:tcPr>
          <w:p w:rsidR="00A02DD0" w:rsidRDefault="00A02DD0" w:rsidP="000179CE">
            <w:pPr>
              <w:jc w:val="center"/>
              <w:rPr>
                <w:b/>
              </w:rPr>
            </w:pPr>
            <w:r>
              <w:rPr>
                <w:b/>
              </w:rPr>
              <w:t>RETROACTIVE</w:t>
            </w:r>
          </w:p>
          <w:p w:rsidR="00A02DD0" w:rsidRDefault="00A02DD0" w:rsidP="000179CE">
            <w:pPr>
              <w:jc w:val="center"/>
              <w:rPr>
                <w:b/>
              </w:rPr>
            </w:pPr>
            <w:r>
              <w:rPr>
                <w:b/>
              </w:rPr>
              <w:t>WITHDRAWALS</w:t>
            </w:r>
          </w:p>
        </w:tc>
        <w:tc>
          <w:tcPr>
            <w:tcW w:w="1528"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F24898" w:rsidP="000179CE">
            <w:pPr>
              <w:jc w:val="center"/>
              <w:rPr>
                <w:b/>
              </w:rPr>
            </w:pPr>
            <w:r>
              <w:rPr>
                <w:b/>
              </w:rPr>
              <w:t>12</w:t>
            </w:r>
          </w:p>
        </w:tc>
        <w:tc>
          <w:tcPr>
            <w:tcW w:w="1540"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F24898" w:rsidP="000179CE">
            <w:pPr>
              <w:jc w:val="center"/>
              <w:rPr>
                <w:b/>
              </w:rPr>
            </w:pPr>
            <w:r>
              <w:rPr>
                <w:b/>
              </w:rPr>
              <w:t>7</w:t>
            </w:r>
          </w:p>
        </w:tc>
        <w:tc>
          <w:tcPr>
            <w:tcW w:w="1522"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F24898" w:rsidP="000179CE">
            <w:pPr>
              <w:jc w:val="center"/>
              <w:rPr>
                <w:b/>
              </w:rPr>
            </w:pPr>
            <w:r>
              <w:rPr>
                <w:b/>
              </w:rPr>
              <w:t>5</w:t>
            </w:r>
          </w:p>
        </w:tc>
        <w:tc>
          <w:tcPr>
            <w:tcW w:w="1556"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c>
          <w:tcPr>
            <w:tcW w:w="1555"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r>
      <w:tr w:rsidR="00A02DD0" w:rsidTr="000179CE">
        <w:trPr>
          <w:trHeight w:val="692"/>
        </w:trPr>
        <w:tc>
          <w:tcPr>
            <w:tcW w:w="1649"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r>
              <w:rPr>
                <w:b/>
              </w:rPr>
              <w:t>OAA-R/W</w:t>
            </w:r>
          </w:p>
          <w:p w:rsidR="00A02DD0" w:rsidRDefault="00A02DD0" w:rsidP="000179CE">
            <w:pPr>
              <w:jc w:val="center"/>
              <w:rPr>
                <w:b/>
              </w:rPr>
            </w:pPr>
            <w:r>
              <w:rPr>
                <w:b/>
              </w:rPr>
              <w:t>Fwd. to OAA</w:t>
            </w:r>
          </w:p>
        </w:tc>
        <w:tc>
          <w:tcPr>
            <w:tcW w:w="1528"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F24898" w:rsidP="000179CE">
            <w:pPr>
              <w:jc w:val="center"/>
              <w:rPr>
                <w:b/>
              </w:rPr>
            </w:pPr>
            <w:r>
              <w:rPr>
                <w:b/>
              </w:rPr>
              <w:t>0</w:t>
            </w:r>
          </w:p>
        </w:tc>
        <w:tc>
          <w:tcPr>
            <w:tcW w:w="1540"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F24898" w:rsidP="000179CE">
            <w:pPr>
              <w:jc w:val="center"/>
              <w:rPr>
                <w:b/>
              </w:rPr>
            </w:pPr>
            <w:r>
              <w:rPr>
                <w:b/>
              </w:rPr>
              <w:t>0</w:t>
            </w:r>
          </w:p>
        </w:tc>
        <w:tc>
          <w:tcPr>
            <w:tcW w:w="1522"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c>
          <w:tcPr>
            <w:tcW w:w="1556"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c>
          <w:tcPr>
            <w:tcW w:w="1555" w:type="dxa"/>
            <w:tcBorders>
              <w:top w:val="single" w:sz="4" w:space="0" w:color="auto"/>
              <w:left w:val="single" w:sz="4" w:space="0" w:color="auto"/>
              <w:bottom w:val="single" w:sz="4" w:space="0" w:color="auto"/>
              <w:right w:val="single" w:sz="4" w:space="0" w:color="auto"/>
            </w:tcBorders>
          </w:tcPr>
          <w:p w:rsidR="00A02DD0" w:rsidRDefault="00A02DD0" w:rsidP="000179CE">
            <w:pPr>
              <w:jc w:val="center"/>
              <w:rPr>
                <w:b/>
              </w:rPr>
            </w:pPr>
          </w:p>
          <w:p w:rsidR="00A02DD0" w:rsidRDefault="00A02DD0" w:rsidP="000179CE">
            <w:pPr>
              <w:jc w:val="center"/>
              <w:rPr>
                <w:b/>
              </w:rPr>
            </w:pPr>
            <w:r>
              <w:rPr>
                <w:b/>
              </w:rPr>
              <w:t>0</w:t>
            </w:r>
          </w:p>
        </w:tc>
      </w:tr>
    </w:tbl>
    <w:p w:rsidR="00A02DD0" w:rsidRPr="00961EBE" w:rsidRDefault="00A02DD0" w:rsidP="00A02DD0">
      <w:pPr>
        <w:pStyle w:val="NoSpacing"/>
        <w:rPr>
          <w:rStyle w:val="Strong"/>
          <w:b w:val="0"/>
          <w:bCs w:val="0"/>
        </w:rPr>
      </w:pPr>
    </w:p>
    <w:p w:rsidR="00A02DD0" w:rsidRPr="009B3FFE" w:rsidRDefault="00A02DD0" w:rsidP="00A02DD0">
      <w:pPr>
        <w:pStyle w:val="NoSpacing"/>
        <w:rPr>
          <w:rStyle w:val="Strong"/>
        </w:rPr>
      </w:pPr>
      <w:r w:rsidRPr="009B3FFE">
        <w:rPr>
          <w:rStyle w:val="Strong"/>
        </w:rPr>
        <w:t>Adjournment:</w:t>
      </w:r>
    </w:p>
    <w:p w:rsidR="00A02DD0" w:rsidRDefault="00A02DD0" w:rsidP="00A02DD0">
      <w:pPr>
        <w:pStyle w:val="NoSpacing"/>
        <w:rPr>
          <w:rStyle w:val="Strong"/>
          <w:b w:val="0"/>
        </w:rPr>
      </w:pPr>
      <w:r>
        <w:rPr>
          <w:rStyle w:val="Strong"/>
        </w:rPr>
        <w:t xml:space="preserve">Meeting was adjourned at </w:t>
      </w:r>
      <w:r>
        <w:rPr>
          <w:rStyle w:val="Strong"/>
        </w:rPr>
        <w:t>11:15am</w:t>
      </w:r>
      <w:r>
        <w:rPr>
          <w:rStyle w:val="Strong"/>
        </w:rPr>
        <w:t xml:space="preserve"> by Vartan Messier. The next CCS meeting will be held </w:t>
      </w:r>
      <w:r>
        <w:rPr>
          <w:rStyle w:val="Strong"/>
        </w:rPr>
        <w:t xml:space="preserve">tentatively </w:t>
      </w:r>
      <w:r>
        <w:rPr>
          <w:rStyle w:val="Strong"/>
        </w:rPr>
        <w:t xml:space="preserve">on Friday, </w:t>
      </w:r>
      <w:r>
        <w:rPr>
          <w:rStyle w:val="Strong"/>
        </w:rPr>
        <w:t>January 13</w:t>
      </w:r>
      <w:r>
        <w:rPr>
          <w:rStyle w:val="Strong"/>
        </w:rPr>
        <w:t>,</w:t>
      </w:r>
      <w:r>
        <w:rPr>
          <w:rStyle w:val="Strong"/>
        </w:rPr>
        <w:t xml:space="preserve"> 2023,</w:t>
      </w:r>
      <w:r>
        <w:rPr>
          <w:rStyle w:val="Strong"/>
        </w:rPr>
        <w:t xml:space="preserve"> Remotely on Teams.</w:t>
      </w:r>
    </w:p>
    <w:bookmarkEnd w:id="0"/>
    <w:p w:rsidR="00A02DD0" w:rsidRDefault="00A02DD0" w:rsidP="00A02DD0">
      <w:pPr>
        <w:spacing w:after="0" w:line="240" w:lineRule="auto"/>
      </w:pPr>
    </w:p>
    <w:p w:rsidR="00F7347D" w:rsidRDefault="00F7347D">
      <w:bookmarkStart w:id="1" w:name="_GoBack"/>
      <w:bookmarkEnd w:id="1"/>
    </w:p>
    <w:sectPr w:rsidR="00F73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A58"/>
    <w:multiLevelType w:val="hybridMultilevel"/>
    <w:tmpl w:val="FF503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1C38"/>
    <w:multiLevelType w:val="hybridMultilevel"/>
    <w:tmpl w:val="A5B48E06"/>
    <w:lvl w:ilvl="0" w:tplc="720CD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A0BA2"/>
    <w:multiLevelType w:val="hybridMultilevel"/>
    <w:tmpl w:val="EAEC2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63584"/>
    <w:multiLevelType w:val="hybridMultilevel"/>
    <w:tmpl w:val="C4B0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D0"/>
    <w:rsid w:val="00A02DD0"/>
    <w:rsid w:val="00F24898"/>
    <w:rsid w:val="00F7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4BA9"/>
  <w15:chartTrackingRefBased/>
  <w15:docId w15:val="{3CA3CB29-752D-458E-BBDD-1BE0C8F2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2DD0"/>
    <w:rPr>
      <w:b/>
      <w:bCs/>
    </w:rPr>
  </w:style>
  <w:style w:type="paragraph" w:styleId="NoSpacing">
    <w:name w:val="No Spacing"/>
    <w:uiPriority w:val="1"/>
    <w:qFormat/>
    <w:rsid w:val="00A02DD0"/>
    <w:pPr>
      <w:spacing w:after="0" w:line="240" w:lineRule="auto"/>
    </w:pPr>
  </w:style>
  <w:style w:type="table" w:styleId="TableGrid">
    <w:name w:val="Table Grid"/>
    <w:basedOn w:val="TableNormal"/>
    <w:uiPriority w:val="39"/>
    <w:rsid w:val="00A02D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Lisandra</dc:creator>
  <cp:keywords/>
  <dc:description/>
  <cp:lastModifiedBy>Rodriguez, Lisandra</cp:lastModifiedBy>
  <cp:revision>1</cp:revision>
  <dcterms:created xsi:type="dcterms:W3CDTF">2022-11-14T15:29:00Z</dcterms:created>
  <dcterms:modified xsi:type="dcterms:W3CDTF">2022-11-14T15:49:00Z</dcterms:modified>
</cp:coreProperties>
</file>